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A2AE" w14:textId="77777777" w:rsidR="008A1B2E" w:rsidRPr="00014272" w:rsidRDefault="00F00BEF">
      <w:pPr>
        <w:pStyle w:val="a8"/>
        <w:ind w:firstLine="420"/>
        <w:rPr>
          <w:rFonts w:asciiTheme="minorHAnsi" w:hAnsiTheme="minorHAnsi" w:cstheme="minorHAnsi"/>
          <w:sz w:val="32"/>
        </w:rPr>
      </w:pPr>
      <w:r w:rsidRPr="00014272">
        <w:rPr>
          <w:rFonts w:asciiTheme="minorHAnsi" w:hAnsiTheme="minorHAnsi" w:cstheme="minorHAnsi"/>
          <w:sz w:val="32"/>
        </w:rPr>
        <w:t xml:space="preserve">Program Proposal </w:t>
      </w:r>
    </w:p>
    <w:p w14:paraId="7A39C5B3" w14:textId="77777777" w:rsidR="008A1B2E" w:rsidRPr="00014272" w:rsidRDefault="00F00BEF" w:rsidP="005955F9">
      <w:pPr>
        <w:pStyle w:val="a8"/>
        <w:ind w:firstLine="420"/>
        <w:rPr>
          <w:rFonts w:asciiTheme="minorHAnsi" w:hAnsiTheme="minorHAnsi" w:cstheme="minorHAnsi"/>
        </w:rPr>
      </w:pPr>
      <w:r w:rsidRPr="00014272">
        <w:rPr>
          <w:rFonts w:asciiTheme="minorHAnsi" w:hAnsiTheme="minorHAnsi" w:cstheme="minorHAnsi"/>
          <w:sz w:val="32"/>
        </w:rPr>
        <w:t>of</w:t>
      </w:r>
    </w:p>
    <w:p w14:paraId="156251BA" w14:textId="6FDDA118" w:rsidR="008A1B2E" w:rsidRPr="00014272" w:rsidRDefault="00F00BEF">
      <w:pPr>
        <w:pStyle w:val="a8"/>
        <w:ind w:firstLine="420"/>
        <w:rPr>
          <w:rFonts w:asciiTheme="minorHAnsi" w:hAnsiTheme="minorHAnsi" w:cstheme="minorHAnsi"/>
          <w:sz w:val="32"/>
        </w:rPr>
      </w:pPr>
      <w:r w:rsidRPr="00014272">
        <w:rPr>
          <w:rFonts w:asciiTheme="minorHAnsi" w:hAnsiTheme="minorHAnsi" w:cstheme="minorHAnsi"/>
          <w:sz w:val="32"/>
        </w:rPr>
        <w:t xml:space="preserve">WAA Outstanding Innovation Project </w:t>
      </w:r>
      <w:r w:rsidR="00E472E1">
        <w:rPr>
          <w:rFonts w:asciiTheme="minorHAnsi" w:hAnsiTheme="minorHAnsi" w:cstheme="minorHAnsi" w:hint="eastAsia"/>
          <w:sz w:val="32"/>
        </w:rPr>
        <w:t>(</w:t>
      </w:r>
      <w:r w:rsidR="00265C10" w:rsidRPr="00265C10">
        <w:rPr>
          <w:rFonts w:asciiTheme="minorHAnsi" w:hAnsiTheme="minorHAnsi" w:cstheme="minorHAnsi"/>
          <w:sz w:val="32"/>
        </w:rPr>
        <w:t>Provisional</w:t>
      </w:r>
      <w:r w:rsidR="00E472E1">
        <w:rPr>
          <w:rFonts w:asciiTheme="minorHAnsi" w:hAnsiTheme="minorHAnsi" w:cstheme="minorHAnsi"/>
          <w:sz w:val="32"/>
        </w:rPr>
        <w:t>)</w:t>
      </w:r>
    </w:p>
    <w:p w14:paraId="4D29A334" w14:textId="77777777" w:rsidR="008A1B2E" w:rsidRPr="00014272" w:rsidRDefault="00F00BEF">
      <w:pPr>
        <w:pStyle w:val="3"/>
        <w:numPr>
          <w:ilvl w:val="0"/>
          <w:numId w:val="1"/>
        </w:numPr>
        <w:rPr>
          <w:rFonts w:asciiTheme="minorHAnsi" w:hAnsiTheme="minorHAnsi" w:cstheme="minorHAnsi"/>
        </w:rPr>
      </w:pPr>
      <w:r w:rsidRPr="00014272">
        <w:rPr>
          <w:rFonts w:asciiTheme="minorHAnsi" w:hAnsiTheme="minorHAnsi" w:cstheme="minorHAnsi"/>
          <w:color w:val="000000"/>
        </w:rPr>
        <w:t>Project Background and Purpose</w:t>
      </w:r>
    </w:p>
    <w:p w14:paraId="5166E6D1" w14:textId="26FB3E26" w:rsidR="008A1B2E" w:rsidRPr="00014272" w:rsidRDefault="00F00BEF">
      <w:pPr>
        <w:rPr>
          <w:rFonts w:asciiTheme="minorHAnsi" w:hAnsiTheme="minorHAnsi" w:cstheme="minorHAnsi"/>
          <w:color w:val="000000"/>
        </w:rPr>
      </w:pPr>
      <w:r w:rsidRPr="00014272">
        <w:rPr>
          <w:rFonts w:asciiTheme="minorHAnsi" w:hAnsiTheme="minorHAnsi" w:cstheme="minorHAnsi"/>
          <w:color w:val="000000"/>
        </w:rPr>
        <w:t xml:space="preserve">To further enhance the brand influence of WAA certification, the Alliance hereby propose the establishment of the </w:t>
      </w:r>
      <w:r w:rsidRPr="00014272">
        <w:rPr>
          <w:rFonts w:asciiTheme="minorHAnsi" w:hAnsiTheme="minorHAnsi" w:cstheme="minorHAnsi"/>
          <w:b/>
          <w:bCs/>
          <w:color w:val="000000"/>
        </w:rPr>
        <w:t>“WAA Outstanding Innovation Project”</w:t>
      </w:r>
      <w:r w:rsidRPr="00014272">
        <w:rPr>
          <w:rFonts w:asciiTheme="minorHAnsi" w:hAnsiTheme="minorHAnsi" w:cstheme="minorHAnsi"/>
          <w:color w:val="000000"/>
        </w:rPr>
        <w:t xml:space="preserve"> program.</w:t>
      </w:r>
    </w:p>
    <w:p w14:paraId="73B1D376" w14:textId="77777777" w:rsidR="008A1B2E" w:rsidRPr="00014272" w:rsidRDefault="00F00BEF">
      <w:pPr>
        <w:rPr>
          <w:rFonts w:asciiTheme="minorHAnsi" w:hAnsiTheme="minorHAnsi" w:cstheme="minorHAnsi"/>
        </w:rPr>
      </w:pPr>
      <w:r w:rsidRPr="00014272">
        <w:rPr>
          <w:rFonts w:asciiTheme="minorHAnsi" w:hAnsiTheme="minorHAnsi" w:cstheme="minorHAnsi"/>
          <w:color w:val="000000"/>
        </w:rPr>
        <w:t>This program aims to promote innovative application scenarios that adopt WAA-certified equipment or comply with WAA standards through brand collaboration with industry partners.</w:t>
      </w:r>
    </w:p>
    <w:p w14:paraId="080A5985" w14:textId="77777777" w:rsidR="008A1B2E" w:rsidRPr="00014272" w:rsidRDefault="00F00BEF">
      <w:pPr>
        <w:rPr>
          <w:rFonts w:asciiTheme="minorHAnsi" w:hAnsiTheme="minorHAnsi" w:cstheme="minorHAnsi"/>
          <w:b/>
          <w:color w:val="000000"/>
        </w:rPr>
      </w:pPr>
      <w:bookmarkStart w:id="0" w:name="_Hlk216347304"/>
      <w:r w:rsidRPr="00014272">
        <w:rPr>
          <w:rFonts w:asciiTheme="minorHAnsi" w:hAnsiTheme="minorHAnsi" w:cstheme="minorHAnsi"/>
          <w:b/>
          <w:color w:val="000000"/>
        </w:rPr>
        <w:t>Core objectives of the project include:</w:t>
      </w:r>
    </w:p>
    <w:bookmarkEnd w:id="0"/>
    <w:p w14:paraId="1018FC57" w14:textId="77777777" w:rsidR="008A1B2E" w:rsidRPr="00014272" w:rsidRDefault="00F00BEF">
      <w:pPr>
        <w:pStyle w:val="ad"/>
        <w:numPr>
          <w:ilvl w:val="0"/>
          <w:numId w:val="2"/>
        </w:numPr>
        <w:ind w:firstLineChars="0"/>
        <w:rPr>
          <w:rFonts w:asciiTheme="minorHAnsi" w:hAnsiTheme="minorHAnsi" w:cstheme="minorHAnsi"/>
        </w:rPr>
      </w:pPr>
      <w:r w:rsidRPr="00014272">
        <w:rPr>
          <w:rFonts w:asciiTheme="minorHAnsi" w:hAnsiTheme="minorHAnsi" w:cstheme="minorHAnsi"/>
        </w:rPr>
        <w:t>Brand Empowerment: Provide authoritative WAA endorsement for partners’ innovative practices to enhance market recognition.</w:t>
      </w:r>
    </w:p>
    <w:p w14:paraId="299551D9" w14:textId="77777777" w:rsidR="008A1B2E" w:rsidRPr="00014272" w:rsidRDefault="00F00BEF">
      <w:pPr>
        <w:pStyle w:val="ad"/>
        <w:numPr>
          <w:ilvl w:val="0"/>
          <w:numId w:val="2"/>
        </w:numPr>
        <w:ind w:firstLineChars="0"/>
        <w:rPr>
          <w:rFonts w:asciiTheme="minorHAnsi" w:hAnsiTheme="minorHAnsi" w:cstheme="minorHAnsi"/>
        </w:rPr>
      </w:pPr>
      <w:r w:rsidRPr="00014272">
        <w:rPr>
          <w:rFonts w:asciiTheme="minorHAnsi" w:hAnsiTheme="minorHAnsi" w:cstheme="minorHAnsi"/>
        </w:rPr>
        <w:t>Mutual Benefits: Leverage the WAA official website section and joint marketing activities to enhance partners’ visibility while expanding WAA's industry influence.</w:t>
      </w:r>
    </w:p>
    <w:p w14:paraId="6071CD2B" w14:textId="07F02243" w:rsidR="008A1B2E" w:rsidRPr="00014272" w:rsidRDefault="00F00BEF">
      <w:pPr>
        <w:pStyle w:val="ad"/>
        <w:numPr>
          <w:ilvl w:val="0"/>
          <w:numId w:val="2"/>
        </w:numPr>
        <w:ind w:firstLineChars="0"/>
        <w:rPr>
          <w:rFonts w:asciiTheme="minorHAnsi" w:hAnsiTheme="minorHAnsi" w:cstheme="minorHAnsi"/>
          <w:sz w:val="28"/>
        </w:rPr>
      </w:pPr>
      <w:r w:rsidRPr="00014272">
        <w:rPr>
          <w:rFonts w:asciiTheme="minorHAnsi" w:hAnsiTheme="minorHAnsi" w:cstheme="minorHAnsi"/>
        </w:rPr>
        <w:t>Benchmark Establishment: Establish a series of high-quality WLAN application demonstration to drive real-world implementation of WAA standards.</w:t>
      </w:r>
    </w:p>
    <w:p w14:paraId="08D8D493" w14:textId="77777777" w:rsidR="008A1B2E" w:rsidRPr="00014272" w:rsidRDefault="00F00BEF">
      <w:pPr>
        <w:pStyle w:val="3"/>
        <w:numPr>
          <w:ilvl w:val="0"/>
          <w:numId w:val="1"/>
        </w:numPr>
        <w:rPr>
          <w:rFonts w:asciiTheme="minorHAnsi" w:hAnsiTheme="minorHAnsi" w:cstheme="minorHAnsi"/>
          <w:color w:val="000000"/>
        </w:rPr>
      </w:pPr>
      <w:r w:rsidRPr="00014272">
        <w:rPr>
          <w:rFonts w:asciiTheme="minorHAnsi" w:hAnsiTheme="minorHAnsi" w:cstheme="minorHAnsi"/>
          <w:color w:val="000000"/>
        </w:rPr>
        <w:t xml:space="preserve"> Project Positioning</w:t>
      </w:r>
    </w:p>
    <w:p w14:paraId="015FB8BD" w14:textId="225F07A2" w:rsidR="008A1B2E" w:rsidRPr="00014272" w:rsidRDefault="00F00BEF">
      <w:pPr>
        <w:rPr>
          <w:rFonts w:asciiTheme="minorHAnsi" w:hAnsiTheme="minorHAnsi" w:cstheme="minorHAnsi"/>
        </w:rPr>
      </w:pPr>
      <w:r w:rsidRPr="00014272">
        <w:rPr>
          <w:rFonts w:asciiTheme="minorHAnsi" w:hAnsiTheme="minorHAnsi" w:cstheme="minorHAnsi"/>
        </w:rPr>
        <w:t>This program focuses on market promotion and brand development. Through certification and demonstration, it reinforces the value of applying WAA standards in real-world scenarios.</w:t>
      </w:r>
    </w:p>
    <w:p w14:paraId="503EDA04" w14:textId="32B49A88" w:rsidR="008A1B2E" w:rsidRPr="00014272" w:rsidRDefault="00F00BEF">
      <w:pPr>
        <w:pStyle w:val="3"/>
        <w:numPr>
          <w:ilvl w:val="0"/>
          <w:numId w:val="1"/>
        </w:numPr>
        <w:rPr>
          <w:rFonts w:asciiTheme="minorHAnsi" w:hAnsiTheme="minorHAnsi" w:cstheme="minorHAnsi"/>
        </w:rPr>
      </w:pPr>
      <w:r w:rsidRPr="00014272">
        <w:rPr>
          <w:rFonts w:asciiTheme="minorHAnsi" w:hAnsiTheme="minorHAnsi" w:cstheme="minorHAnsi"/>
        </w:rPr>
        <w:t>Cooperation Scope and Eligibility Requirements</w:t>
      </w:r>
    </w:p>
    <w:p w14:paraId="163E9D81" w14:textId="5C8BEA2A" w:rsidR="008A1B2E" w:rsidRPr="00014272" w:rsidRDefault="00F00BEF">
      <w:pPr>
        <w:rPr>
          <w:rFonts w:asciiTheme="minorHAnsi" w:hAnsiTheme="minorHAnsi" w:cstheme="minorHAnsi"/>
        </w:rPr>
      </w:pPr>
      <w:r w:rsidRPr="00014272">
        <w:rPr>
          <w:rFonts w:asciiTheme="minorHAnsi" w:hAnsiTheme="minorHAnsi" w:cstheme="minorHAnsi"/>
        </w:rPr>
        <w:t xml:space="preserve">Applicants seeking to join for the “WAA Outstanding Innovation Project,” in addition of a recommendation from a WAA </w:t>
      </w:r>
      <w:proofErr w:type="spellStart"/>
      <w:r w:rsidRPr="00014272">
        <w:rPr>
          <w:rFonts w:asciiTheme="minorHAnsi" w:hAnsiTheme="minorHAnsi" w:cstheme="minorHAnsi"/>
        </w:rPr>
        <w:t>Coucil</w:t>
      </w:r>
      <w:proofErr w:type="spellEnd"/>
      <w:r w:rsidRPr="00014272">
        <w:rPr>
          <w:rFonts w:asciiTheme="minorHAnsi" w:hAnsiTheme="minorHAnsi" w:cstheme="minorHAnsi"/>
        </w:rPr>
        <w:t xml:space="preserve"> member, must meet at least one of the following conditions:</w:t>
      </w:r>
    </w:p>
    <w:p w14:paraId="7B2D18D4" w14:textId="7EA3230C" w:rsidR="008A1B2E" w:rsidRPr="00014272" w:rsidRDefault="00F00BEF">
      <w:pPr>
        <w:pStyle w:val="ad"/>
        <w:numPr>
          <w:ilvl w:val="0"/>
          <w:numId w:val="3"/>
        </w:numPr>
        <w:ind w:firstLineChars="0"/>
        <w:rPr>
          <w:rFonts w:asciiTheme="minorHAnsi" w:hAnsiTheme="minorHAnsi" w:cstheme="minorHAnsi"/>
        </w:rPr>
      </w:pPr>
      <w:r w:rsidRPr="00014272">
        <w:rPr>
          <w:rFonts w:asciiTheme="minorHAnsi" w:hAnsiTheme="minorHAnsi" w:cstheme="minorHAnsi"/>
        </w:rPr>
        <w:lastRenderedPageBreak/>
        <w:t>Device Certification Category: The innovative application scenario must adopt WAA-certified equipment as a core component of the project.</w:t>
      </w:r>
    </w:p>
    <w:p w14:paraId="0C1E7B59" w14:textId="538482BD" w:rsidR="008A1B2E" w:rsidRPr="00014272" w:rsidRDefault="00F00BEF">
      <w:pPr>
        <w:pStyle w:val="ad"/>
        <w:numPr>
          <w:ilvl w:val="0"/>
          <w:numId w:val="3"/>
        </w:numPr>
        <w:ind w:firstLineChars="0"/>
        <w:rPr>
          <w:rFonts w:asciiTheme="minorHAnsi" w:hAnsiTheme="minorHAnsi" w:cstheme="minorHAnsi"/>
        </w:rPr>
      </w:pPr>
      <w:r w:rsidRPr="00014272">
        <w:rPr>
          <w:rFonts w:asciiTheme="minorHAnsi" w:hAnsiTheme="minorHAnsi" w:cstheme="minorHAnsi"/>
        </w:rPr>
        <w:t xml:space="preserve">Standard Implementation Category: The innovative application scenario must </w:t>
      </w:r>
      <w:proofErr w:type="gramStart"/>
      <w:r w:rsidRPr="00014272">
        <w:rPr>
          <w:rFonts w:asciiTheme="minorHAnsi" w:hAnsiTheme="minorHAnsi" w:cstheme="minorHAnsi"/>
        </w:rPr>
        <w:t>implemented</w:t>
      </w:r>
      <w:proofErr w:type="gramEnd"/>
      <w:r w:rsidRPr="00014272">
        <w:rPr>
          <w:rFonts w:asciiTheme="minorHAnsi" w:hAnsiTheme="minorHAnsi" w:cstheme="minorHAnsi"/>
        </w:rPr>
        <w:t xml:space="preserve"> WAA technical standard, with the equipment playing a core role.</w:t>
      </w:r>
    </w:p>
    <w:p w14:paraId="086EC267" w14:textId="1D985E69" w:rsidR="008A1B2E" w:rsidRPr="00014272" w:rsidRDefault="00F00BEF">
      <w:pPr>
        <w:rPr>
          <w:rFonts w:asciiTheme="minorHAnsi" w:hAnsiTheme="minorHAnsi" w:cstheme="minorHAnsi"/>
        </w:rPr>
      </w:pPr>
      <w:r w:rsidRPr="00014272">
        <w:rPr>
          <w:rFonts w:asciiTheme="minorHAnsi" w:hAnsiTheme="minorHAnsi" w:cstheme="minorHAnsi"/>
        </w:rPr>
        <w:t>(Note: For such projects, the applicant must accept an on-site evaluation by a WAA expert team to verify the implementation of the standards.)</w:t>
      </w:r>
    </w:p>
    <w:p w14:paraId="1C249E52" w14:textId="77777777" w:rsidR="008A1B2E" w:rsidRPr="00014272" w:rsidRDefault="00F00BEF">
      <w:pPr>
        <w:pStyle w:val="3"/>
        <w:numPr>
          <w:ilvl w:val="0"/>
          <w:numId w:val="1"/>
        </w:numPr>
        <w:rPr>
          <w:rFonts w:asciiTheme="minorHAnsi" w:hAnsiTheme="minorHAnsi" w:cstheme="minorHAnsi"/>
        </w:rPr>
      </w:pPr>
      <w:r w:rsidRPr="00014272">
        <w:rPr>
          <w:rFonts w:asciiTheme="minorHAnsi" w:hAnsiTheme="minorHAnsi" w:cstheme="minorHAnsi"/>
        </w:rPr>
        <w:t>Cooperation Benefits and Deliverables</w:t>
      </w:r>
    </w:p>
    <w:p w14:paraId="43DA6C68" w14:textId="77777777" w:rsidR="008A1B2E" w:rsidRPr="00014272" w:rsidRDefault="00F00BEF">
      <w:pPr>
        <w:rPr>
          <w:rFonts w:asciiTheme="minorHAnsi" w:hAnsiTheme="minorHAnsi" w:cstheme="minorHAnsi"/>
        </w:rPr>
      </w:pPr>
      <w:r w:rsidRPr="00014272">
        <w:rPr>
          <w:rFonts w:asciiTheme="minorHAnsi" w:hAnsiTheme="minorHAnsi" w:cstheme="minorHAnsi"/>
        </w:rPr>
        <w:t>After final approval, WAA will provide the following benefits to partners:</w:t>
      </w:r>
    </w:p>
    <w:p w14:paraId="2D7DA999" w14:textId="11896648" w:rsidR="008A1B2E" w:rsidRPr="00014272" w:rsidRDefault="00F00BEF">
      <w:pPr>
        <w:pStyle w:val="ad"/>
        <w:numPr>
          <w:ilvl w:val="0"/>
          <w:numId w:val="4"/>
        </w:numPr>
        <w:ind w:firstLineChars="0"/>
        <w:rPr>
          <w:rFonts w:asciiTheme="minorHAnsi" w:hAnsiTheme="minorHAnsi" w:cstheme="minorHAnsi"/>
        </w:rPr>
      </w:pPr>
      <w:r w:rsidRPr="00014272">
        <w:rPr>
          <w:rFonts w:asciiTheme="minorHAnsi" w:hAnsiTheme="minorHAnsi" w:cstheme="minorHAnsi"/>
          <w:b/>
          <w:bCs/>
        </w:rPr>
        <w:t>Award Plaque</w:t>
      </w:r>
      <w:r w:rsidRPr="00014272">
        <w:rPr>
          <w:rFonts w:asciiTheme="minorHAnsi" w:hAnsiTheme="minorHAnsi" w:cstheme="minorHAnsi"/>
        </w:rPr>
        <w:t>: Issuance of a “WAA Outstanding Innovation Project” plaque.</w:t>
      </w:r>
    </w:p>
    <w:p w14:paraId="48E027ED" w14:textId="77777777" w:rsidR="008A1B2E" w:rsidRPr="00014272" w:rsidRDefault="00F00BEF">
      <w:pPr>
        <w:pStyle w:val="ad"/>
        <w:numPr>
          <w:ilvl w:val="0"/>
          <w:numId w:val="4"/>
        </w:numPr>
        <w:ind w:firstLineChars="0"/>
        <w:rPr>
          <w:rFonts w:asciiTheme="minorHAnsi" w:hAnsiTheme="minorHAnsi" w:cstheme="minorHAnsi"/>
        </w:rPr>
      </w:pPr>
      <w:r w:rsidRPr="00014272">
        <w:rPr>
          <w:rFonts w:asciiTheme="minorHAnsi" w:hAnsiTheme="minorHAnsi" w:cstheme="minorHAnsi"/>
          <w:b/>
          <w:bCs/>
        </w:rPr>
        <w:t>Certificate Issuance</w:t>
      </w:r>
      <w:r w:rsidRPr="00014272">
        <w:rPr>
          <w:rFonts w:asciiTheme="minorHAnsi" w:hAnsiTheme="minorHAnsi" w:cstheme="minorHAnsi"/>
        </w:rPr>
        <w:t>: A certificate specifying the WAA certifications obtained or WAA standards followed in the project.</w:t>
      </w:r>
    </w:p>
    <w:p w14:paraId="5A6884AA" w14:textId="3A084A45" w:rsidR="008A1B2E" w:rsidRPr="00014272" w:rsidRDefault="00F00BEF">
      <w:pPr>
        <w:pStyle w:val="ad"/>
        <w:numPr>
          <w:ilvl w:val="0"/>
          <w:numId w:val="4"/>
        </w:numPr>
        <w:ind w:firstLineChars="0"/>
        <w:rPr>
          <w:rFonts w:asciiTheme="minorHAnsi" w:hAnsiTheme="minorHAnsi" w:cstheme="minorHAnsi"/>
        </w:rPr>
      </w:pPr>
      <w:r w:rsidRPr="00014272">
        <w:rPr>
          <w:rFonts w:asciiTheme="minorHAnsi" w:hAnsiTheme="minorHAnsi" w:cstheme="minorHAnsi"/>
          <w:b/>
          <w:bCs/>
        </w:rPr>
        <w:t>Brand Promotion</w:t>
      </w:r>
      <w:r w:rsidRPr="00014272">
        <w:rPr>
          <w:rFonts w:asciiTheme="minorHAnsi" w:hAnsiTheme="minorHAnsi" w:cstheme="minorHAnsi"/>
        </w:rPr>
        <w:t>: Promotion on the WAA official website and through WAA communication channels.</w:t>
      </w:r>
    </w:p>
    <w:p w14:paraId="76B6583A" w14:textId="77777777" w:rsidR="008A1B2E" w:rsidRPr="00014272" w:rsidRDefault="00F00BEF">
      <w:pPr>
        <w:pStyle w:val="3"/>
        <w:numPr>
          <w:ilvl w:val="0"/>
          <w:numId w:val="1"/>
        </w:numPr>
        <w:rPr>
          <w:rFonts w:asciiTheme="minorHAnsi" w:hAnsiTheme="minorHAnsi" w:cstheme="minorHAnsi"/>
        </w:rPr>
      </w:pPr>
      <w:r w:rsidRPr="00014272">
        <w:rPr>
          <w:rFonts w:asciiTheme="minorHAnsi" w:hAnsiTheme="minorHAnsi" w:cstheme="minorHAnsi"/>
        </w:rPr>
        <w:t>Project Operation Process</w:t>
      </w:r>
    </w:p>
    <w:p w14:paraId="4C63AD8B" w14:textId="45148BAA" w:rsidR="008A1B2E" w:rsidRPr="00014272" w:rsidRDefault="00F00BEF">
      <w:pPr>
        <w:pStyle w:val="ad"/>
        <w:numPr>
          <w:ilvl w:val="0"/>
          <w:numId w:val="5"/>
        </w:numPr>
        <w:ind w:firstLineChars="0"/>
        <w:rPr>
          <w:rFonts w:asciiTheme="minorHAnsi" w:hAnsiTheme="minorHAnsi" w:cstheme="minorHAnsi"/>
        </w:rPr>
      </w:pPr>
      <w:r w:rsidRPr="00014272">
        <w:rPr>
          <w:rFonts w:asciiTheme="minorHAnsi" w:hAnsiTheme="minorHAnsi" w:cstheme="minorHAnsi"/>
          <w:b/>
          <w:bCs/>
        </w:rPr>
        <w:t>Application Submission</w:t>
      </w:r>
      <w:r w:rsidRPr="00014272">
        <w:rPr>
          <w:rFonts w:asciiTheme="minorHAnsi" w:hAnsiTheme="minorHAnsi" w:cstheme="minorHAnsi"/>
        </w:rPr>
        <w:t>: The applicant submits materials according to the WAA WLAN Outstanding Innovation Practice Project Application Form.</w:t>
      </w:r>
    </w:p>
    <w:p w14:paraId="27058CBB" w14:textId="77777777" w:rsidR="008A1B2E" w:rsidRPr="00014272" w:rsidRDefault="00F00BEF">
      <w:pPr>
        <w:pStyle w:val="ad"/>
        <w:numPr>
          <w:ilvl w:val="0"/>
          <w:numId w:val="5"/>
        </w:numPr>
        <w:ind w:firstLineChars="0"/>
        <w:rPr>
          <w:rFonts w:asciiTheme="minorHAnsi" w:hAnsiTheme="minorHAnsi" w:cstheme="minorHAnsi"/>
        </w:rPr>
      </w:pPr>
      <w:r w:rsidRPr="00014272">
        <w:rPr>
          <w:rFonts w:asciiTheme="minorHAnsi" w:hAnsiTheme="minorHAnsi" w:cstheme="minorHAnsi"/>
          <w:b/>
          <w:bCs/>
        </w:rPr>
        <w:t>Secretariat Joint Meeting Review</w:t>
      </w:r>
      <w:r w:rsidRPr="00014272">
        <w:rPr>
          <w:rFonts w:asciiTheme="minorHAnsi" w:hAnsiTheme="minorHAnsi" w:cstheme="minorHAnsi"/>
        </w:rPr>
        <w:t>: The WAA Secretariat conducts a preliminary review. If passed, the case is further reviewed in the secretariat joint meeting. The results are then communicated to the applicant.</w:t>
      </w:r>
    </w:p>
    <w:p w14:paraId="1AF4B69B" w14:textId="77777777" w:rsidR="008A1B2E" w:rsidRPr="00014272" w:rsidRDefault="00F00BEF">
      <w:pPr>
        <w:pStyle w:val="ad"/>
        <w:numPr>
          <w:ilvl w:val="0"/>
          <w:numId w:val="5"/>
        </w:numPr>
        <w:ind w:firstLineChars="0"/>
        <w:rPr>
          <w:rFonts w:asciiTheme="minorHAnsi" w:hAnsiTheme="minorHAnsi" w:cstheme="minorHAnsi"/>
        </w:rPr>
      </w:pPr>
      <w:r w:rsidRPr="00014272">
        <w:rPr>
          <w:rFonts w:asciiTheme="minorHAnsi" w:hAnsiTheme="minorHAnsi" w:cstheme="minorHAnsi"/>
          <w:b/>
          <w:bCs/>
        </w:rPr>
        <w:t>On-site Evaluation (if applicable):</w:t>
      </w:r>
      <w:r w:rsidRPr="00014272">
        <w:rPr>
          <w:rFonts w:asciiTheme="minorHAnsi" w:hAnsiTheme="minorHAnsi" w:cstheme="minorHAnsi"/>
        </w:rPr>
        <w:t xml:space="preserve"> For projects involving standard implementation, WAA will organize an expert team for on-site assessment and testing after meeting-level approval.</w:t>
      </w:r>
    </w:p>
    <w:p w14:paraId="390E1587" w14:textId="403EDDFC" w:rsidR="008A1B2E" w:rsidRPr="00014272" w:rsidRDefault="00F00BEF">
      <w:pPr>
        <w:pStyle w:val="ad"/>
        <w:numPr>
          <w:ilvl w:val="0"/>
          <w:numId w:val="5"/>
        </w:numPr>
        <w:ind w:firstLineChars="0"/>
        <w:rPr>
          <w:rFonts w:asciiTheme="minorHAnsi" w:hAnsiTheme="minorHAnsi" w:cstheme="minorHAnsi"/>
        </w:rPr>
      </w:pPr>
      <w:r w:rsidRPr="00014272">
        <w:rPr>
          <w:rFonts w:asciiTheme="minorHAnsi" w:hAnsiTheme="minorHAnsi" w:cstheme="minorHAnsi"/>
          <w:b/>
          <w:bCs/>
        </w:rPr>
        <w:t>Announcement of Results:</w:t>
      </w:r>
      <w:r w:rsidRPr="00014272">
        <w:rPr>
          <w:rFonts w:asciiTheme="minorHAnsi" w:hAnsiTheme="minorHAnsi" w:cstheme="minorHAnsi"/>
        </w:rPr>
        <w:t xml:space="preserve"> The WAA Secretariat announces the evaluation results.</w:t>
      </w:r>
    </w:p>
    <w:p w14:paraId="6C5C9EE0" w14:textId="46D6F599" w:rsidR="008A1B2E" w:rsidRPr="00014272" w:rsidRDefault="00F00BEF">
      <w:pPr>
        <w:pStyle w:val="ad"/>
        <w:numPr>
          <w:ilvl w:val="0"/>
          <w:numId w:val="5"/>
        </w:numPr>
        <w:ind w:firstLineChars="0"/>
        <w:rPr>
          <w:rFonts w:asciiTheme="minorHAnsi" w:hAnsiTheme="minorHAnsi" w:cstheme="minorHAnsi"/>
        </w:rPr>
      </w:pPr>
      <w:r w:rsidRPr="00014272">
        <w:rPr>
          <w:rFonts w:asciiTheme="minorHAnsi" w:hAnsiTheme="minorHAnsi" w:cstheme="minorHAnsi"/>
          <w:b/>
          <w:bCs/>
        </w:rPr>
        <w:t xml:space="preserve">Agreement Signing: </w:t>
      </w:r>
      <w:r w:rsidRPr="00014272">
        <w:rPr>
          <w:rFonts w:asciiTheme="minorHAnsi" w:hAnsiTheme="minorHAnsi" w:cstheme="minorHAnsi"/>
        </w:rPr>
        <w:t xml:space="preserve">Upon final approval, WAA and the project applicant sign a </w:t>
      </w:r>
      <w:r w:rsidRPr="00014272">
        <w:rPr>
          <w:rFonts w:asciiTheme="minorHAnsi" w:hAnsiTheme="minorHAnsi" w:cstheme="minorHAnsi"/>
        </w:rPr>
        <w:lastRenderedPageBreak/>
        <w:t>formal cooperation agreement.</w:t>
      </w:r>
    </w:p>
    <w:p w14:paraId="3847F87A" w14:textId="77777777" w:rsidR="008A1B2E" w:rsidRPr="00014272" w:rsidRDefault="00F00BEF">
      <w:pPr>
        <w:pStyle w:val="ad"/>
        <w:numPr>
          <w:ilvl w:val="0"/>
          <w:numId w:val="5"/>
        </w:numPr>
        <w:ind w:firstLineChars="0"/>
        <w:rPr>
          <w:rFonts w:asciiTheme="minorHAnsi" w:hAnsiTheme="minorHAnsi" w:cstheme="minorHAnsi"/>
        </w:rPr>
      </w:pPr>
      <w:r w:rsidRPr="00014272">
        <w:rPr>
          <w:rFonts w:asciiTheme="minorHAnsi" w:hAnsiTheme="minorHAnsi" w:cstheme="minorHAnsi"/>
          <w:b/>
          <w:bCs/>
        </w:rPr>
        <w:t>Awarding and Display:</w:t>
      </w:r>
      <w:r w:rsidRPr="00014272">
        <w:rPr>
          <w:rFonts w:asciiTheme="minorHAnsi" w:hAnsiTheme="minorHAnsi" w:cstheme="minorHAnsi"/>
        </w:rPr>
        <w:t xml:space="preserve"> After signing, WAA will hold an awarding ceremony (or deliver the award) and publish project details on its website and related channels.</w:t>
      </w:r>
    </w:p>
    <w:p w14:paraId="3C1438F6" w14:textId="77777777" w:rsidR="008A1B2E" w:rsidRPr="00014272" w:rsidRDefault="00F00BEF">
      <w:pPr>
        <w:pStyle w:val="3"/>
        <w:numPr>
          <w:ilvl w:val="0"/>
          <w:numId w:val="1"/>
        </w:numPr>
        <w:rPr>
          <w:rFonts w:asciiTheme="minorHAnsi" w:hAnsiTheme="minorHAnsi" w:cstheme="minorHAnsi"/>
        </w:rPr>
      </w:pPr>
      <w:r w:rsidRPr="00014272">
        <w:rPr>
          <w:rFonts w:asciiTheme="minorHAnsi" w:hAnsiTheme="minorHAnsi" w:cstheme="minorHAnsi"/>
          <w:color w:val="000000"/>
        </w:rPr>
        <w:t>Project Implementation and Management</w:t>
      </w:r>
    </w:p>
    <w:p w14:paraId="6EDA0AA2" w14:textId="77777777" w:rsidR="008A1B2E" w:rsidRPr="00014272" w:rsidRDefault="00F00BEF">
      <w:pPr>
        <w:pStyle w:val="ad"/>
        <w:numPr>
          <w:ilvl w:val="0"/>
          <w:numId w:val="6"/>
        </w:numPr>
        <w:ind w:firstLineChars="0"/>
        <w:rPr>
          <w:rFonts w:asciiTheme="minorHAnsi" w:hAnsiTheme="minorHAnsi" w:cstheme="minorHAnsi"/>
        </w:rPr>
      </w:pPr>
      <w:r w:rsidRPr="00014272">
        <w:rPr>
          <w:rFonts w:asciiTheme="minorHAnsi" w:hAnsiTheme="minorHAnsi" w:cstheme="minorHAnsi"/>
          <w:b/>
          <w:bCs/>
        </w:rPr>
        <w:t>Organizational Structure:</w:t>
      </w:r>
      <w:r w:rsidRPr="00014272">
        <w:rPr>
          <w:rFonts w:asciiTheme="minorHAnsi" w:hAnsiTheme="minorHAnsi" w:cstheme="minorHAnsi"/>
        </w:rPr>
        <w:t xml:space="preserve"> A dedicated project team will be formed by the WAA Secretariat.</w:t>
      </w:r>
    </w:p>
    <w:p w14:paraId="3DD6DDD1" w14:textId="77777777" w:rsidR="008A1B2E" w:rsidRPr="00014272" w:rsidRDefault="00F00BEF">
      <w:pPr>
        <w:pStyle w:val="ad"/>
        <w:numPr>
          <w:ilvl w:val="1"/>
          <w:numId w:val="6"/>
        </w:numPr>
        <w:ind w:firstLineChars="0"/>
        <w:rPr>
          <w:rFonts w:asciiTheme="minorHAnsi" w:hAnsiTheme="minorHAnsi" w:cstheme="minorHAnsi"/>
        </w:rPr>
      </w:pPr>
      <w:r w:rsidRPr="00014272">
        <w:rPr>
          <w:rFonts w:asciiTheme="minorHAnsi" w:hAnsiTheme="minorHAnsi" w:cstheme="minorHAnsi"/>
        </w:rPr>
        <w:t>A project manager will be appointed to oversee overall coordination and project progress.</w:t>
      </w:r>
    </w:p>
    <w:p w14:paraId="7708633B" w14:textId="1350ADDD" w:rsidR="008A1B2E" w:rsidRPr="00014272" w:rsidRDefault="00F00BEF">
      <w:pPr>
        <w:pStyle w:val="ad"/>
        <w:numPr>
          <w:ilvl w:val="0"/>
          <w:numId w:val="6"/>
        </w:numPr>
        <w:ind w:firstLineChars="0"/>
        <w:rPr>
          <w:rFonts w:asciiTheme="minorHAnsi" w:hAnsiTheme="minorHAnsi" w:cstheme="minorHAnsi"/>
        </w:rPr>
      </w:pPr>
      <w:r w:rsidRPr="00014272">
        <w:rPr>
          <w:rFonts w:asciiTheme="minorHAnsi" w:hAnsiTheme="minorHAnsi" w:cstheme="minorHAnsi"/>
          <w:b/>
          <w:bCs/>
        </w:rPr>
        <w:t xml:space="preserve">Promotion and Solicitation: </w:t>
      </w:r>
      <w:r w:rsidRPr="00014272">
        <w:rPr>
          <w:rFonts w:asciiTheme="minorHAnsi" w:hAnsiTheme="minorHAnsi" w:cstheme="minorHAnsi"/>
        </w:rPr>
        <w:t>WAA will publicly announce this program and solicit projects across the industry</w:t>
      </w:r>
      <w:r w:rsidR="00AA3D87" w:rsidRPr="00014272">
        <w:rPr>
          <w:rFonts w:asciiTheme="minorHAnsi" w:hAnsiTheme="minorHAnsi" w:cstheme="minorHAnsi"/>
        </w:rPr>
        <w:t>, Submissions will be consolidated on a quarterly basis, and review and evaluation activities will be organized accordingly.</w:t>
      </w:r>
    </w:p>
    <w:p w14:paraId="17D3B324" w14:textId="77777777" w:rsidR="008A1B2E" w:rsidRPr="00014272" w:rsidRDefault="00F00BEF">
      <w:pPr>
        <w:pStyle w:val="ad"/>
        <w:numPr>
          <w:ilvl w:val="0"/>
          <w:numId w:val="6"/>
        </w:numPr>
        <w:ind w:firstLineChars="0"/>
        <w:rPr>
          <w:rFonts w:asciiTheme="minorHAnsi" w:hAnsiTheme="minorHAnsi" w:cstheme="minorHAnsi"/>
        </w:rPr>
      </w:pPr>
      <w:r w:rsidRPr="00014272">
        <w:rPr>
          <w:rFonts w:asciiTheme="minorHAnsi" w:hAnsiTheme="minorHAnsi" w:cstheme="minorHAnsi"/>
          <w:b/>
          <w:bCs/>
        </w:rPr>
        <w:t>Project Impact Assessment:</w:t>
      </w:r>
      <w:r w:rsidRPr="00014272">
        <w:rPr>
          <w:rFonts w:asciiTheme="minorHAnsi" w:hAnsiTheme="minorHAnsi" w:cstheme="minorHAnsi"/>
        </w:rPr>
        <w:t xml:space="preserve"> The project manager must prepare a quarterly report, which includes but is not limited to: number of awarded projects, effectiveness of individual projects (e.g., number of visitors, visitor profiles, media exposure).</w:t>
      </w:r>
    </w:p>
    <w:p w14:paraId="2F8C245A" w14:textId="77777777" w:rsidR="008A1B2E" w:rsidRPr="00014272" w:rsidRDefault="00F00BEF">
      <w:pPr>
        <w:pStyle w:val="3"/>
        <w:numPr>
          <w:ilvl w:val="0"/>
          <w:numId w:val="1"/>
        </w:numPr>
        <w:rPr>
          <w:rFonts w:asciiTheme="minorHAnsi" w:hAnsiTheme="minorHAnsi" w:cstheme="minorHAnsi"/>
        </w:rPr>
      </w:pPr>
      <w:r w:rsidRPr="00014272">
        <w:rPr>
          <w:rFonts w:asciiTheme="minorHAnsi" w:hAnsiTheme="minorHAnsi" w:cstheme="minorHAnsi"/>
          <w:color w:val="000000"/>
        </w:rPr>
        <w:t>Budget and Business Model</w:t>
      </w:r>
    </w:p>
    <w:p w14:paraId="2E5B53FB" w14:textId="77777777" w:rsidR="008A1B2E" w:rsidRPr="00014272" w:rsidRDefault="00F00BEF">
      <w:pPr>
        <w:rPr>
          <w:rFonts w:asciiTheme="minorHAnsi" w:hAnsiTheme="minorHAnsi" w:cstheme="minorHAnsi"/>
        </w:rPr>
      </w:pPr>
      <w:r w:rsidRPr="00014272">
        <w:rPr>
          <w:rFonts w:asciiTheme="minorHAnsi" w:hAnsiTheme="minorHAnsi" w:cstheme="minorHAnsi"/>
        </w:rPr>
        <w:t>The project will be funded primarily through WAA’s annual budget. No fees or sponsorships will be collected from project applicants. Execution standards are as follows:</w:t>
      </w:r>
    </w:p>
    <w:p w14:paraId="00B1A25F" w14:textId="77777777" w:rsidR="008A1B2E" w:rsidRPr="00014272" w:rsidRDefault="00F00BEF">
      <w:pPr>
        <w:numPr>
          <w:ilvl w:val="0"/>
          <w:numId w:val="7"/>
        </w:numPr>
        <w:rPr>
          <w:rFonts w:asciiTheme="minorHAnsi" w:hAnsiTheme="minorHAnsi" w:cstheme="minorHAnsi"/>
          <w:color w:val="000000"/>
        </w:rPr>
      </w:pPr>
      <w:r w:rsidRPr="00014272">
        <w:rPr>
          <w:rFonts w:asciiTheme="minorHAnsi" w:hAnsiTheme="minorHAnsi" w:cstheme="minorHAnsi"/>
          <w:color w:val="000000"/>
        </w:rPr>
        <w:t>Expenses (borne by WAA):</w:t>
      </w:r>
    </w:p>
    <w:p w14:paraId="39AED65A" w14:textId="77777777" w:rsidR="008A1B2E" w:rsidRPr="00014272" w:rsidRDefault="00F00BEF">
      <w:pPr>
        <w:numPr>
          <w:ilvl w:val="0"/>
          <w:numId w:val="8"/>
        </w:numPr>
        <w:rPr>
          <w:rFonts w:asciiTheme="minorHAnsi" w:hAnsiTheme="minorHAnsi" w:cstheme="minorHAnsi"/>
          <w:color w:val="000000"/>
        </w:rPr>
      </w:pPr>
      <w:r w:rsidRPr="00014272">
        <w:rPr>
          <w:rFonts w:asciiTheme="minorHAnsi" w:hAnsiTheme="minorHAnsi" w:cstheme="minorHAnsi"/>
          <w:b/>
          <w:bCs/>
          <w:color w:val="000000"/>
        </w:rPr>
        <w:t>Materials:</w:t>
      </w:r>
      <w:r w:rsidRPr="00014272">
        <w:rPr>
          <w:rFonts w:asciiTheme="minorHAnsi" w:hAnsiTheme="minorHAnsi" w:cstheme="minorHAnsi"/>
          <w:color w:val="000000"/>
        </w:rPr>
        <w:t xml:space="preserve"> Design, production, and shipping costs for plaques and certificates.</w:t>
      </w:r>
    </w:p>
    <w:p w14:paraId="03620B40" w14:textId="61597F68" w:rsidR="008A1B2E" w:rsidRPr="00014272" w:rsidRDefault="00F00BEF">
      <w:pPr>
        <w:numPr>
          <w:ilvl w:val="0"/>
          <w:numId w:val="8"/>
        </w:numPr>
        <w:rPr>
          <w:rFonts w:asciiTheme="minorHAnsi" w:hAnsiTheme="minorHAnsi" w:cstheme="minorHAnsi"/>
          <w:color w:val="000000"/>
        </w:rPr>
      </w:pPr>
      <w:r w:rsidRPr="00014272">
        <w:rPr>
          <w:rFonts w:asciiTheme="minorHAnsi" w:hAnsiTheme="minorHAnsi" w:cstheme="minorHAnsi"/>
          <w:b/>
          <w:bCs/>
          <w:color w:val="000000"/>
        </w:rPr>
        <w:t>Secretariat Travel:</w:t>
      </w:r>
      <w:r w:rsidRPr="00014272">
        <w:rPr>
          <w:rFonts w:asciiTheme="minorHAnsi" w:hAnsiTheme="minorHAnsi" w:cstheme="minorHAnsi"/>
          <w:color w:val="000000"/>
        </w:rPr>
        <w:t xml:space="preserve"> Travel expenses for secretariat staff participating in project activities (e.g., inspection, awarding), with a budget cap of CYN </w:t>
      </w:r>
      <w:r w:rsidRPr="00014272">
        <w:rPr>
          <w:rFonts w:asciiTheme="minorHAnsi" w:hAnsiTheme="minorHAnsi" w:cstheme="minorHAnsi"/>
          <w:b/>
          <w:bCs/>
          <w:color w:val="000000"/>
        </w:rPr>
        <w:t>10,000 per project</w:t>
      </w:r>
      <w:r w:rsidRPr="00014272">
        <w:rPr>
          <w:rFonts w:asciiTheme="minorHAnsi" w:hAnsiTheme="minorHAnsi" w:cstheme="minorHAnsi"/>
          <w:color w:val="000000"/>
        </w:rPr>
        <w:t>.</w:t>
      </w:r>
    </w:p>
    <w:p w14:paraId="635638F1" w14:textId="4179ACB2" w:rsidR="008A1B2E" w:rsidRPr="00014272" w:rsidRDefault="00F00BEF">
      <w:pPr>
        <w:numPr>
          <w:ilvl w:val="0"/>
          <w:numId w:val="8"/>
        </w:numPr>
        <w:rPr>
          <w:rFonts w:asciiTheme="minorHAnsi" w:hAnsiTheme="minorHAnsi" w:cstheme="minorHAnsi"/>
        </w:rPr>
      </w:pPr>
      <w:r w:rsidRPr="00014272">
        <w:rPr>
          <w:rFonts w:asciiTheme="minorHAnsi" w:hAnsiTheme="minorHAnsi" w:cstheme="minorHAnsi"/>
          <w:b/>
          <w:bCs/>
          <w:color w:val="000000"/>
        </w:rPr>
        <w:t>Expert Team Travel:</w:t>
      </w:r>
      <w:r w:rsidRPr="00014272">
        <w:rPr>
          <w:rFonts w:asciiTheme="minorHAnsi" w:hAnsiTheme="minorHAnsi" w:cstheme="minorHAnsi"/>
          <w:color w:val="000000"/>
        </w:rPr>
        <w:t xml:space="preserve"> For the first </w:t>
      </w:r>
      <w:r w:rsidRPr="00014272">
        <w:rPr>
          <w:rFonts w:asciiTheme="minorHAnsi" w:hAnsiTheme="minorHAnsi" w:cstheme="minorHAnsi"/>
          <w:b/>
          <w:bCs/>
          <w:color w:val="000000"/>
        </w:rPr>
        <w:t>10 projects each year</w:t>
      </w:r>
      <w:r w:rsidRPr="00014272">
        <w:rPr>
          <w:rFonts w:asciiTheme="minorHAnsi" w:hAnsiTheme="minorHAnsi" w:cstheme="minorHAnsi"/>
          <w:color w:val="000000"/>
        </w:rPr>
        <w:t xml:space="preserve">, WAA will cover travel expenses for on-site evaluation experts, capped at CYN </w:t>
      </w:r>
      <w:r w:rsidRPr="00014272">
        <w:rPr>
          <w:rFonts w:asciiTheme="minorHAnsi" w:hAnsiTheme="minorHAnsi" w:cstheme="minorHAnsi"/>
          <w:b/>
          <w:bCs/>
          <w:color w:val="000000"/>
        </w:rPr>
        <w:t>30,000 per project</w:t>
      </w:r>
      <w:r w:rsidRPr="00014272">
        <w:rPr>
          <w:rFonts w:asciiTheme="minorHAnsi" w:hAnsiTheme="minorHAnsi" w:cstheme="minorHAnsi"/>
          <w:color w:val="000000"/>
        </w:rPr>
        <w:t>.</w:t>
      </w:r>
    </w:p>
    <w:p w14:paraId="7DD35335" w14:textId="77777777" w:rsidR="008A1B2E" w:rsidRPr="00014272" w:rsidRDefault="00F00BEF">
      <w:pPr>
        <w:pStyle w:val="3"/>
        <w:numPr>
          <w:ilvl w:val="0"/>
          <w:numId w:val="1"/>
        </w:numPr>
        <w:rPr>
          <w:rFonts w:asciiTheme="minorHAnsi" w:hAnsiTheme="minorHAnsi" w:cstheme="minorHAnsi"/>
        </w:rPr>
      </w:pPr>
      <w:r w:rsidRPr="00014272">
        <w:rPr>
          <w:rFonts w:asciiTheme="minorHAnsi" w:hAnsiTheme="minorHAnsi" w:cstheme="minorHAnsi"/>
          <w:color w:val="000000"/>
        </w:rPr>
        <w:lastRenderedPageBreak/>
        <w:t>Project Closure</w:t>
      </w:r>
    </w:p>
    <w:p w14:paraId="2F2C1A68" w14:textId="77777777" w:rsidR="008A1B2E" w:rsidRPr="00014272" w:rsidRDefault="00F00BEF">
      <w:pPr>
        <w:rPr>
          <w:rFonts w:asciiTheme="minorHAnsi" w:hAnsiTheme="minorHAnsi" w:cstheme="minorHAnsi"/>
        </w:rPr>
      </w:pPr>
      <w:r w:rsidRPr="00014272">
        <w:rPr>
          <w:rFonts w:asciiTheme="minorHAnsi" w:hAnsiTheme="minorHAnsi" w:cstheme="minorHAnsi"/>
          <w:color w:val="000000"/>
        </w:rPr>
        <w:t>The WAA Secretariat Joint Meeting will periodically review quarterly reports submitted by the project manager. Based on project performance, budget execution, and strategic adjustment needs, the meeting may decide whether to close the program.</w:t>
      </w:r>
    </w:p>
    <w:sectPr w:rsidR="008A1B2E" w:rsidRPr="00014272">
      <w:pgSz w:w="11906" w:h="16838"/>
      <w:pgMar w:top="1440" w:right="1797" w:bottom="1440" w:left="1797"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39E3" w14:textId="77777777" w:rsidR="00622569" w:rsidRDefault="00622569">
      <w:pPr>
        <w:spacing w:line="240" w:lineRule="auto"/>
      </w:pPr>
      <w:r>
        <w:separator/>
      </w:r>
    </w:p>
  </w:endnote>
  <w:endnote w:type="continuationSeparator" w:id="0">
    <w:p w14:paraId="7B55F251" w14:textId="77777777" w:rsidR="00622569" w:rsidRDefault="00622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onaco">
    <w:altName w:val="Courier New"/>
    <w:charset w:val="00"/>
    <w:family w:val="auto"/>
    <w:pitch w:val="default"/>
    <w:sig w:usb0="A00002FF" w:usb1="500039FB" w:usb2="00000000" w:usb3="00000000" w:csb0="20000197" w:csb1="4F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EDF2" w14:textId="77777777" w:rsidR="00622569" w:rsidRDefault="00622569">
      <w:pPr>
        <w:spacing w:line="240" w:lineRule="auto"/>
      </w:pPr>
      <w:r>
        <w:separator/>
      </w:r>
    </w:p>
  </w:footnote>
  <w:footnote w:type="continuationSeparator" w:id="0">
    <w:p w14:paraId="1B24DA4B" w14:textId="77777777" w:rsidR="00622569" w:rsidRDefault="006225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A20"/>
    <w:multiLevelType w:val="multilevel"/>
    <w:tmpl w:val="00DB0A20"/>
    <w:lvl w:ilvl="0">
      <w:start w:val="1"/>
      <w:numFmt w:val="decimal"/>
      <w:lvlText w:val="%1."/>
      <w:lvlJc w:val="left"/>
      <w:pPr>
        <w:ind w:left="420" w:hanging="420"/>
      </w:pPr>
      <w:rPr>
        <w:rFonts w:hint="eastAsia"/>
        <w:b/>
        <w:bCs/>
        <w:i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8F2B5A"/>
    <w:multiLevelType w:val="multilevel"/>
    <w:tmpl w:val="0E8F2B5A"/>
    <w:lvl w:ilvl="0">
      <w:start w:val="1"/>
      <w:numFmt w:val="decimal"/>
      <w:lvlText w:val="%1."/>
      <w:lvlJc w:val="left"/>
      <w:pPr>
        <w:ind w:left="420" w:hanging="420"/>
      </w:pPr>
      <w:rPr>
        <w:rFonts w:hint="eastAsia"/>
        <w:b/>
        <w:bCs/>
        <w:i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5E11AB"/>
    <w:multiLevelType w:val="multilevel"/>
    <w:tmpl w:val="145E11AB"/>
    <w:lvl w:ilvl="0">
      <w:start w:val="1"/>
      <w:numFmt w:val="decimal"/>
      <w:lvlText w:val="%1."/>
      <w:lvlJc w:val="left"/>
      <w:pPr>
        <w:ind w:left="420" w:hanging="420"/>
      </w:pPr>
      <w:rPr>
        <w:rFonts w:hint="eastAsia"/>
        <w:b/>
        <w:bCs/>
        <w:i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1751F8"/>
    <w:multiLevelType w:val="multilevel"/>
    <w:tmpl w:val="451751F8"/>
    <w:lvl w:ilvl="0">
      <w:start w:val="1"/>
      <w:numFmt w:val="decimal"/>
      <w:lvlText w:val="%1."/>
      <w:lvlJc w:val="left"/>
      <w:pPr>
        <w:ind w:left="420" w:hanging="420"/>
      </w:pPr>
      <w:rPr>
        <w:rFonts w:hint="eastAsia"/>
        <w:b/>
        <w:bCs/>
        <w:i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CEF2267"/>
    <w:multiLevelType w:val="multilevel"/>
    <w:tmpl w:val="4CEF2267"/>
    <w:lvl w:ilvl="0">
      <w:start w:val="1"/>
      <w:numFmt w:val="bullet"/>
      <w:lvlText w:val=""/>
      <w:lvlJc w:val="left"/>
      <w:rPr>
        <w:rFonts w:ascii="Wingdings" w:hAnsi="Wingdings" w:hint="default"/>
        <w:b/>
        <w:bCs/>
        <w:i w:val="0"/>
        <w:sz w:val="24"/>
        <w:szCs w:val="24"/>
      </w:rPr>
    </w:lvl>
    <w:lvl w:ilvl="1">
      <w:start w:val="1"/>
      <w:numFmt w:val="bullet"/>
      <w:lvlText w:val="¡"/>
      <w:lvlJc w:val="left"/>
      <w:pPr>
        <w:ind w:leftChars="200" w:hanging="336"/>
      </w:pPr>
      <w:rPr>
        <w:rFonts w:ascii="Wingdings" w:hAnsi="Wingdings" w:cs="Wingdings" w:hint="default"/>
      </w:rPr>
    </w:lvl>
    <w:lvl w:ilvl="2">
      <w:start w:val="1"/>
      <w:numFmt w:val="bullet"/>
      <w:lvlText w:val=""/>
      <w:lvlJc w:val="left"/>
      <w:pPr>
        <w:ind w:leftChars="400" w:hanging="336"/>
      </w:pPr>
      <w:rPr>
        <w:rFonts w:ascii="Wingdings" w:hAnsi="Wingdings" w:cs="Wingdings" w:hint="default"/>
      </w:rPr>
    </w:lvl>
    <w:lvl w:ilvl="3">
      <w:start w:val="1"/>
      <w:numFmt w:val="bullet"/>
      <w:lvlText w:val=""/>
      <w:lvlJc w:val="left"/>
      <w:pPr>
        <w:ind w:leftChars="600" w:firstLine="0"/>
      </w:pPr>
      <w:rPr>
        <w:rFonts w:ascii="Wingdings" w:hAnsi="Wingdings" w:cs="Wingdings" w:hint="default"/>
      </w:rPr>
    </w:lvl>
    <w:lvl w:ilvl="4">
      <w:start w:val="1"/>
      <w:numFmt w:val="bullet"/>
      <w:lvlText w:val="¡"/>
      <w:lvlJc w:val="left"/>
      <w:pPr>
        <w:ind w:leftChars="800" w:hanging="336"/>
      </w:pPr>
      <w:rPr>
        <w:rFonts w:ascii="Wingdings" w:hAnsi="Wingdings" w:cs="Wingdings" w:hint="default"/>
      </w:rPr>
    </w:lvl>
    <w:lvl w:ilvl="5">
      <w:start w:val="1"/>
      <w:numFmt w:val="bullet"/>
      <w:lvlText w:val=""/>
      <w:lvlJc w:val="left"/>
      <w:pPr>
        <w:ind w:leftChars="1000" w:hanging="336"/>
      </w:pPr>
      <w:rPr>
        <w:rFonts w:ascii="Wingdings" w:hAnsi="Wingdings" w:cs="Wingdings" w:hint="default"/>
      </w:rPr>
    </w:lvl>
    <w:lvl w:ilvl="6">
      <w:start w:val="1"/>
      <w:numFmt w:val="bullet"/>
      <w:lvlText w:val=""/>
      <w:lvlJc w:val="left"/>
      <w:pPr>
        <w:ind w:leftChars="1200" w:firstLine="0"/>
      </w:pPr>
      <w:rPr>
        <w:rFonts w:ascii="Wingdings" w:hAnsi="Wingdings" w:cs="Wingdings" w:hint="default"/>
      </w:rPr>
    </w:lvl>
    <w:lvl w:ilvl="7">
      <w:start w:val="1"/>
      <w:numFmt w:val="bullet"/>
      <w:lvlText w:val="¡"/>
      <w:lvlJc w:val="left"/>
      <w:pPr>
        <w:ind w:leftChars="1400" w:hanging="336"/>
      </w:pPr>
      <w:rPr>
        <w:rFonts w:ascii="Wingdings" w:hAnsi="Wingdings" w:cs="Wingdings" w:hint="default"/>
      </w:rPr>
    </w:lvl>
    <w:lvl w:ilvl="8">
      <w:start w:val="1"/>
      <w:numFmt w:val="bullet"/>
      <w:lvlText w:val=""/>
      <w:lvlJc w:val="left"/>
      <w:pPr>
        <w:ind w:leftChars="1600" w:hanging="336"/>
      </w:pPr>
      <w:rPr>
        <w:rFonts w:ascii="Wingdings" w:hAnsi="Wingdings" w:cs="Wingdings" w:hint="default"/>
      </w:rPr>
    </w:lvl>
  </w:abstractNum>
  <w:abstractNum w:abstractNumId="5" w15:restartNumberingAfterBreak="0">
    <w:nsid w:val="54DC3617"/>
    <w:multiLevelType w:val="multilevel"/>
    <w:tmpl w:val="54DC3617"/>
    <w:lvl w:ilvl="0">
      <w:start w:val="1"/>
      <w:numFmt w:val="decimal"/>
      <w:lvlText w:val="%1."/>
      <w:lvlJc w:val="left"/>
      <w:pPr>
        <w:ind w:left="420" w:hanging="420"/>
      </w:pPr>
      <w:rPr>
        <w:rFonts w:hint="eastAsia"/>
        <w:b/>
        <w:bCs/>
        <w:i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9D31158"/>
    <w:multiLevelType w:val="singleLevel"/>
    <w:tmpl w:val="59D31158"/>
    <w:lvl w:ilvl="0">
      <w:start w:val="1"/>
      <w:numFmt w:val="upperRoman"/>
      <w:lvlText w:val="%1."/>
      <w:lvlJc w:val="left"/>
      <w:pPr>
        <w:ind w:left="425" w:hanging="425"/>
      </w:pPr>
      <w:rPr>
        <w:rFonts w:hint="default"/>
        <w:sz w:val="28"/>
        <w:szCs w:val="28"/>
      </w:rPr>
    </w:lvl>
  </w:abstractNum>
  <w:abstractNum w:abstractNumId="7" w15:restartNumberingAfterBreak="0">
    <w:nsid w:val="70827520"/>
    <w:multiLevelType w:val="multilevel"/>
    <w:tmpl w:val="70827520"/>
    <w:lvl w:ilvl="0">
      <w:start w:val="1"/>
      <w:numFmt w:val="decimal"/>
      <w:lvlText w:val="%1."/>
      <w:lvlJc w:val="left"/>
      <w:rPr>
        <w:rFonts w:hint="eastAsia"/>
        <w:b/>
        <w:bCs/>
        <w:i w:val="0"/>
        <w:sz w:val="24"/>
        <w:szCs w:val="24"/>
      </w:rPr>
    </w:lvl>
    <w:lvl w:ilvl="1">
      <w:start w:val="1"/>
      <w:numFmt w:val="bullet"/>
      <w:lvlText w:val="¡"/>
      <w:lvlJc w:val="left"/>
      <w:pPr>
        <w:ind w:leftChars="200" w:hanging="336"/>
      </w:pPr>
      <w:rPr>
        <w:rFonts w:ascii="Wingdings" w:hAnsi="Wingdings" w:cs="Wingdings" w:hint="default"/>
      </w:rPr>
    </w:lvl>
    <w:lvl w:ilvl="2">
      <w:start w:val="1"/>
      <w:numFmt w:val="bullet"/>
      <w:lvlText w:val=""/>
      <w:lvlJc w:val="left"/>
      <w:pPr>
        <w:ind w:leftChars="400" w:hanging="336"/>
      </w:pPr>
      <w:rPr>
        <w:rFonts w:ascii="Wingdings" w:hAnsi="Wingdings" w:cs="Wingdings" w:hint="default"/>
      </w:rPr>
    </w:lvl>
    <w:lvl w:ilvl="3">
      <w:start w:val="1"/>
      <w:numFmt w:val="bullet"/>
      <w:lvlText w:val=""/>
      <w:lvlJc w:val="left"/>
      <w:pPr>
        <w:ind w:leftChars="600" w:firstLine="0"/>
      </w:pPr>
      <w:rPr>
        <w:rFonts w:ascii="Wingdings" w:hAnsi="Wingdings" w:cs="Wingdings" w:hint="default"/>
      </w:rPr>
    </w:lvl>
    <w:lvl w:ilvl="4">
      <w:start w:val="1"/>
      <w:numFmt w:val="bullet"/>
      <w:lvlText w:val="¡"/>
      <w:lvlJc w:val="left"/>
      <w:pPr>
        <w:ind w:leftChars="800" w:hanging="336"/>
      </w:pPr>
      <w:rPr>
        <w:rFonts w:ascii="Wingdings" w:hAnsi="Wingdings" w:cs="Wingdings" w:hint="default"/>
      </w:rPr>
    </w:lvl>
    <w:lvl w:ilvl="5">
      <w:start w:val="1"/>
      <w:numFmt w:val="bullet"/>
      <w:lvlText w:val=""/>
      <w:lvlJc w:val="left"/>
      <w:pPr>
        <w:ind w:leftChars="1000" w:hanging="336"/>
      </w:pPr>
      <w:rPr>
        <w:rFonts w:ascii="Wingdings" w:hAnsi="Wingdings" w:cs="Wingdings" w:hint="default"/>
      </w:rPr>
    </w:lvl>
    <w:lvl w:ilvl="6">
      <w:start w:val="1"/>
      <w:numFmt w:val="bullet"/>
      <w:lvlText w:val=""/>
      <w:lvlJc w:val="left"/>
      <w:pPr>
        <w:ind w:leftChars="1200" w:firstLine="0"/>
      </w:pPr>
      <w:rPr>
        <w:rFonts w:ascii="Wingdings" w:hAnsi="Wingdings" w:cs="Wingdings" w:hint="default"/>
      </w:rPr>
    </w:lvl>
    <w:lvl w:ilvl="7">
      <w:start w:val="1"/>
      <w:numFmt w:val="bullet"/>
      <w:lvlText w:val="¡"/>
      <w:lvlJc w:val="left"/>
      <w:pPr>
        <w:ind w:leftChars="1400" w:hanging="336"/>
      </w:pPr>
      <w:rPr>
        <w:rFonts w:ascii="Wingdings" w:hAnsi="Wingdings" w:cs="Wingdings" w:hint="default"/>
      </w:rPr>
    </w:lvl>
    <w:lvl w:ilvl="8">
      <w:start w:val="1"/>
      <w:numFmt w:val="bullet"/>
      <w:lvlText w:val=""/>
      <w:lvlJc w:val="left"/>
      <w:pPr>
        <w:ind w:leftChars="1600" w:hanging="336"/>
      </w:pPr>
      <w:rPr>
        <w:rFonts w:ascii="Wingdings" w:hAnsi="Wingdings" w:cs="Wingdings" w:hint="default"/>
      </w:r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HorizontalSpacing w:val="220"/>
  <w:drawingGridVerticalSpacing w:val="38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24D9F"/>
    <w:rsid w:val="1AA24D9F"/>
    <w:rsid w:val="8FFFA67E"/>
    <w:rsid w:val="A97F623E"/>
    <w:rsid w:val="AFBF8780"/>
    <w:rsid w:val="BEEFCB4B"/>
    <w:rsid w:val="BFE6F841"/>
    <w:rsid w:val="BFFBDBCA"/>
    <w:rsid w:val="D5DE8897"/>
    <w:rsid w:val="E7FE3684"/>
    <w:rsid w:val="E95E2A0D"/>
    <w:rsid w:val="EFFF70E4"/>
    <w:rsid w:val="F57E0509"/>
    <w:rsid w:val="F7EEC240"/>
    <w:rsid w:val="FBF75102"/>
    <w:rsid w:val="FDDC5620"/>
    <w:rsid w:val="FDEA700A"/>
    <w:rsid w:val="FFBFCE42"/>
    <w:rsid w:val="FFFF40C2"/>
    <w:rsid w:val="00014272"/>
    <w:rsid w:val="000B62CA"/>
    <w:rsid w:val="00230708"/>
    <w:rsid w:val="00240421"/>
    <w:rsid w:val="00265C10"/>
    <w:rsid w:val="002A53AA"/>
    <w:rsid w:val="002E259C"/>
    <w:rsid w:val="003A0D65"/>
    <w:rsid w:val="003C3A2B"/>
    <w:rsid w:val="003E13E8"/>
    <w:rsid w:val="003F7ADC"/>
    <w:rsid w:val="004140D0"/>
    <w:rsid w:val="00482A66"/>
    <w:rsid w:val="00512108"/>
    <w:rsid w:val="005955F9"/>
    <w:rsid w:val="005C35DE"/>
    <w:rsid w:val="005E3980"/>
    <w:rsid w:val="00622569"/>
    <w:rsid w:val="00626AA2"/>
    <w:rsid w:val="006404C7"/>
    <w:rsid w:val="0068574D"/>
    <w:rsid w:val="006E696F"/>
    <w:rsid w:val="0071681D"/>
    <w:rsid w:val="00763809"/>
    <w:rsid w:val="00763F3B"/>
    <w:rsid w:val="00764EFE"/>
    <w:rsid w:val="007944D1"/>
    <w:rsid w:val="00797CEE"/>
    <w:rsid w:val="007B6CC0"/>
    <w:rsid w:val="007B78C7"/>
    <w:rsid w:val="007C7A70"/>
    <w:rsid w:val="007E489B"/>
    <w:rsid w:val="008257F6"/>
    <w:rsid w:val="00827E85"/>
    <w:rsid w:val="00850589"/>
    <w:rsid w:val="00872F43"/>
    <w:rsid w:val="00890FE1"/>
    <w:rsid w:val="00891BB4"/>
    <w:rsid w:val="008A1B2E"/>
    <w:rsid w:val="008A6298"/>
    <w:rsid w:val="0090731C"/>
    <w:rsid w:val="00912B61"/>
    <w:rsid w:val="00930092"/>
    <w:rsid w:val="009541DA"/>
    <w:rsid w:val="009C5E4A"/>
    <w:rsid w:val="009E7FC9"/>
    <w:rsid w:val="00A02214"/>
    <w:rsid w:val="00A02BBC"/>
    <w:rsid w:val="00A065C4"/>
    <w:rsid w:val="00A24175"/>
    <w:rsid w:val="00A55AD0"/>
    <w:rsid w:val="00A66550"/>
    <w:rsid w:val="00A85D95"/>
    <w:rsid w:val="00AA3D87"/>
    <w:rsid w:val="00AB1D25"/>
    <w:rsid w:val="00AC4E58"/>
    <w:rsid w:val="00AD3D80"/>
    <w:rsid w:val="00AE03E9"/>
    <w:rsid w:val="00B727BA"/>
    <w:rsid w:val="00BE0D57"/>
    <w:rsid w:val="00BF68A7"/>
    <w:rsid w:val="00C12609"/>
    <w:rsid w:val="00C1739B"/>
    <w:rsid w:val="00C20EED"/>
    <w:rsid w:val="00C51104"/>
    <w:rsid w:val="00C91250"/>
    <w:rsid w:val="00C97913"/>
    <w:rsid w:val="00CA5A15"/>
    <w:rsid w:val="00D23C2F"/>
    <w:rsid w:val="00D411F4"/>
    <w:rsid w:val="00E472E1"/>
    <w:rsid w:val="00E8558C"/>
    <w:rsid w:val="00EA1ADD"/>
    <w:rsid w:val="00EB642F"/>
    <w:rsid w:val="00ED026C"/>
    <w:rsid w:val="00F00BEF"/>
    <w:rsid w:val="00F06FCF"/>
    <w:rsid w:val="00F220ED"/>
    <w:rsid w:val="00F50C8B"/>
    <w:rsid w:val="00F54A75"/>
    <w:rsid w:val="00F5666F"/>
    <w:rsid w:val="00F867C8"/>
    <w:rsid w:val="00FF4779"/>
    <w:rsid w:val="07011CC2"/>
    <w:rsid w:val="07644792"/>
    <w:rsid w:val="09284798"/>
    <w:rsid w:val="0F2B6FD9"/>
    <w:rsid w:val="183C240D"/>
    <w:rsid w:val="1AA24D9F"/>
    <w:rsid w:val="27FBD2E2"/>
    <w:rsid w:val="28DA2E89"/>
    <w:rsid w:val="295B6DE6"/>
    <w:rsid w:val="29E12BDE"/>
    <w:rsid w:val="2A4254F9"/>
    <w:rsid w:val="2D1F32F4"/>
    <w:rsid w:val="323B4D81"/>
    <w:rsid w:val="34B70380"/>
    <w:rsid w:val="3AE174A3"/>
    <w:rsid w:val="43446334"/>
    <w:rsid w:val="44A84E71"/>
    <w:rsid w:val="477DCE1E"/>
    <w:rsid w:val="4CF3098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FF6304"/>
  <w15:docId w15:val="{8F645757-AF8B-41FD-B519-262A62F5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qFormat="1"/>
    <w:lsdException w:name="toc 9" w:uiPriority="99"/>
    <w:lsdException w:name="footnote text" w:semiHidden="1" w:uiPriority="99" w:unhideWhenUsed="1"/>
    <w:lsdException w:name="annotation text" w:qFormat="1"/>
    <w:lsdException w:name="header" w:qFormat="1"/>
    <w:lsdException w:name="footer" w:qFormat="1"/>
    <w:lsdException w:name="caption" w:semiHidden="1" w:unhideWhenUsed="1" w:qFormat="1"/>
    <w:lsdException w:name="footnote reference" w:semiHidden="1" w:uiPriority="99" w:unhideWhenUsed="1"/>
    <w:lsdException w:name="annotation reference"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jc w:val="both"/>
    </w:pPr>
    <w:rPr>
      <w:rFonts w:cs="Arial"/>
      <w:color w:val="333333"/>
      <w:kern w:val="2"/>
      <w:sz w:val="24"/>
      <w:szCs w:val="24"/>
    </w:rPr>
  </w:style>
  <w:style w:type="paragraph" w:styleId="1">
    <w:name w:val="heading 1"/>
    <w:basedOn w:val="a"/>
    <w:next w:val="a"/>
    <w:qFormat/>
    <w:pPr>
      <w:keepNext/>
      <w:keepLines/>
      <w:outlineLvl w:val="0"/>
    </w:pPr>
    <w:rPr>
      <w:b/>
      <w:kern w:val="44"/>
      <w:sz w:val="36"/>
    </w:rPr>
  </w:style>
  <w:style w:type="paragraph" w:styleId="2">
    <w:name w:val="heading 2"/>
    <w:basedOn w:val="a"/>
    <w:next w:val="a"/>
    <w:qFormat/>
    <w:pPr>
      <w:keepNext/>
      <w:keepLines/>
      <w:outlineLvl w:val="1"/>
    </w:pPr>
    <w:rPr>
      <w:b/>
      <w:sz w:val="32"/>
    </w:rPr>
  </w:style>
  <w:style w:type="paragraph" w:styleId="3">
    <w:name w:val="heading 3"/>
    <w:basedOn w:val="a"/>
    <w:next w:val="a"/>
    <w:qFormat/>
    <w:pPr>
      <w:keepNext/>
      <w:keepLines/>
      <w:outlineLvl w:val="2"/>
    </w:pPr>
    <w:rPr>
      <w:b/>
      <w:sz w:val="28"/>
    </w:rPr>
  </w:style>
  <w:style w:type="paragraph" w:styleId="4">
    <w:name w:val="heading 4"/>
    <w:basedOn w:val="a"/>
    <w:next w:val="a"/>
    <w:qFormat/>
    <w:pPr>
      <w:keepNext/>
      <w:keepLines/>
      <w:outlineLvl w:val="3"/>
    </w:pPr>
    <w:rPr>
      <w:b/>
    </w:rPr>
  </w:style>
  <w:style w:type="paragraph" w:styleId="5">
    <w:name w:val="heading 5"/>
    <w:basedOn w:val="a"/>
    <w:next w:val="a"/>
    <w:qFormat/>
    <w:pPr>
      <w:keepNext/>
      <w:keepLines/>
      <w:spacing w:line="480" w:lineRule="auto"/>
      <w:outlineLvl w:val="4"/>
    </w:pPr>
    <w:rPr>
      <w:b/>
    </w:rPr>
  </w:style>
  <w:style w:type="paragraph" w:styleId="6">
    <w:name w:val="heading 6"/>
    <w:basedOn w:val="a"/>
    <w:next w:val="a"/>
    <w:qFormat/>
    <w:pPr>
      <w:keepNext/>
      <w:keepLines/>
      <w:spacing w:line="480" w:lineRule="auto"/>
      <w:outlineLvl w:val="5"/>
    </w:pPr>
    <w:rPr>
      <w:b/>
    </w:rPr>
  </w:style>
  <w:style w:type="paragraph" w:styleId="7">
    <w:name w:val="heading 7"/>
    <w:basedOn w:val="a"/>
    <w:next w:val="a"/>
    <w:unhideWhenUsed/>
    <w:qFormat/>
    <w:pPr>
      <w:keepNext/>
      <w:keepLines/>
      <w:spacing w:line="480" w:lineRule="auto"/>
      <w:outlineLvl w:val="6"/>
    </w:pPr>
    <w:rPr>
      <w:b/>
    </w:rPr>
  </w:style>
  <w:style w:type="paragraph" w:styleId="8">
    <w:name w:val="heading 8"/>
    <w:basedOn w:val="a"/>
    <w:next w:val="a"/>
    <w:unhideWhenUsed/>
    <w:qFormat/>
    <w:pPr>
      <w:keepNext/>
      <w:keepLines/>
      <w:spacing w:line="480" w:lineRule="auto"/>
      <w:outlineLvl w:val="7"/>
    </w:pPr>
    <w:rPr>
      <w:b/>
    </w:rPr>
  </w:style>
  <w:style w:type="paragraph" w:styleId="9">
    <w:name w:val="heading 9"/>
    <w:basedOn w:val="a"/>
    <w:next w:val="a"/>
    <w:unhideWhenUsed/>
    <w:qFormat/>
    <w:pPr>
      <w:keepNext/>
      <w:keepLines/>
      <w:spacing w:line="480" w:lineRule="auto"/>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TOC8">
    <w:name w:val="toc 8"/>
    <w:basedOn w:val="a"/>
    <w:next w:val="a"/>
    <w:autoRedefine/>
    <w:uiPriority w:val="99"/>
    <w:qFormat/>
    <w:pPr>
      <w:ind w:leftChars="1400" w:left="2940"/>
    </w:pPr>
  </w:style>
  <w:style w:type="paragraph" w:styleId="a4">
    <w:name w:val="footer"/>
    <w:basedOn w:val="a"/>
    <w:qFormat/>
    <w:pPr>
      <w:tabs>
        <w:tab w:val="center" w:pos="4153"/>
        <w:tab w:val="right" w:pos="8306"/>
      </w:tabs>
      <w:snapToGrid w:val="0"/>
      <w:jc w:val="center"/>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a7"/>
    <w:qFormat/>
    <w:pPr>
      <w:jc w:val="center"/>
      <w:outlineLvl w:val="1"/>
    </w:pPr>
    <w:rPr>
      <w:rFonts w:cstheme="minorBidi"/>
      <w:b/>
      <w:bCs/>
      <w:kern w:val="28"/>
      <w:sz w:val="44"/>
      <w:szCs w:val="32"/>
    </w:rPr>
  </w:style>
  <w:style w:type="paragraph" w:styleId="a8">
    <w:name w:val="Title"/>
    <w:basedOn w:val="a"/>
    <w:next w:val="a"/>
    <w:link w:val="a9"/>
    <w:qFormat/>
    <w:pPr>
      <w:jc w:val="center"/>
      <w:outlineLvl w:val="0"/>
    </w:pPr>
    <w:rPr>
      <w:rFonts w:cstheme="majorBidi"/>
      <w:b/>
      <w:bCs/>
      <w:sz w:val="48"/>
      <w:szCs w:val="32"/>
    </w:rPr>
  </w:style>
  <w:style w:type="table" w:styleId="aa">
    <w:name w:val="Table Grid"/>
    <w:basedOn w:val="a1"/>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b">
    <w:name w:val="Hyperlink"/>
    <w:basedOn w:val="a0"/>
    <w:qFormat/>
    <w:rPr>
      <w:color w:val="1E6FFF"/>
      <w:u w:val="single"/>
    </w:rPr>
  </w:style>
  <w:style w:type="character" w:styleId="ac">
    <w:name w:val="annotation reference"/>
    <w:basedOn w:val="a0"/>
    <w:qFormat/>
    <w:rPr>
      <w:sz w:val="21"/>
      <w:szCs w:val="21"/>
    </w:rPr>
  </w:style>
  <w:style w:type="character" w:customStyle="1" w:styleId="a7">
    <w:name w:val="副标题 字符"/>
    <w:basedOn w:val="a0"/>
    <w:link w:val="a6"/>
    <w:qFormat/>
    <w:rPr>
      <w:rFonts w:ascii="Arial" w:eastAsia="微软雅黑" w:hAnsi="Arial" w:cstheme="minorBidi"/>
      <w:b/>
      <w:bCs/>
      <w:kern w:val="28"/>
      <w:sz w:val="44"/>
      <w:szCs w:val="32"/>
    </w:rPr>
  </w:style>
  <w:style w:type="character" w:customStyle="1" w:styleId="a9">
    <w:name w:val="标题 字符"/>
    <w:basedOn w:val="a0"/>
    <w:link w:val="a8"/>
    <w:qFormat/>
    <w:rPr>
      <w:rFonts w:ascii="Arial" w:eastAsia="微软雅黑" w:hAnsi="Arial" w:cstheme="majorBidi"/>
      <w:b/>
      <w:bCs/>
      <w:kern w:val="2"/>
      <w:sz w:val="48"/>
      <w:szCs w:val="32"/>
    </w:rPr>
  </w:style>
  <w:style w:type="character" w:customStyle="1" w:styleId="melo-codeblock-Base-theme-char">
    <w:name w:val="melo-codeblock-Base-theme-char"/>
    <w:uiPriority w:val="99"/>
    <w:qFormat/>
    <w:rPr>
      <w:rFonts w:ascii="Monaco" w:eastAsia="Monaco" w:hAnsi="Monaco" w:cs="Monaco"/>
      <w:color w:val="000000"/>
      <w:sz w:val="21"/>
    </w:rPr>
  </w:style>
  <w:style w:type="paragraph" w:customStyle="1" w:styleId="melo-codeblock-Base-theme-para">
    <w:name w:val="melo-codeblock-Base-theme-para"/>
    <w:uiPriority w:val="99"/>
    <w:pPr>
      <w:snapToGrid w:val="0"/>
      <w:spacing w:line="360" w:lineRule="auto"/>
    </w:pPr>
    <w:rPr>
      <w:rFonts w:ascii="Monaco" w:eastAsia="Monaco" w:hAnsi="Monaco" w:cs="Monaco"/>
      <w:color w:val="000000"/>
      <w:sz w:val="21"/>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654</Words>
  <Characters>4005</Characters>
  <Application>Microsoft Office Word</Application>
  <DocSecurity>0</DocSecurity>
  <Lines>75</Lines>
  <Paragraphs>47</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Derrek</dc:creator>
  <cp:lastModifiedBy>dingrong huang</cp:lastModifiedBy>
  <cp:revision>11</cp:revision>
  <dcterms:created xsi:type="dcterms:W3CDTF">2025-12-11T14:38:00Z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eyJoZGlkIjoiNjcxMDgxNTNiZTdiOGY5OWQyNjQxYWRlOGFmNzk1YmMiLCJ1c2VySWQiOiIyMDMzNDkyMTIifQ==</vt:lpwstr>
  </property>
  <property fmtid="{D5CDD505-2E9C-101B-9397-08002B2CF9AE}" pid="3" name="KSOProductBuildVer">
    <vt:lpwstr>2052-6.14.0.8924</vt:lpwstr>
  </property>
  <property fmtid="{D5CDD505-2E9C-101B-9397-08002B2CF9AE}" pid="4" name="ICV">
    <vt:lpwstr>367502EBA74D4B691AD23F69EB4D8BD3_43</vt:lpwstr>
  </property>
</Properties>
</file>